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right"/>
        <w:spacing w:line="360" w:lineRule="exact"/>
        <w:rPr>
          <w:sz w:val="26"/>
          <w:szCs w:val="26"/>
        </w:rPr>
      </w:pPr>
      <w:r>
        <w:rPr>
          <w:sz w:val="26"/>
          <w:szCs w:val="26"/>
        </w:rPr>
        <w:t xml:space="preserve">Приложение</w:t>
      </w:r>
      <w:r>
        <w:rPr>
          <w:sz w:val="26"/>
          <w:szCs w:val="26"/>
        </w:rPr>
        <w:t xml:space="preserve"> № 1</w:t>
      </w:r>
      <w:r>
        <w:rPr>
          <w:sz w:val="26"/>
          <w:szCs w:val="26"/>
        </w:rPr>
      </w:r>
    </w:p>
    <w:p>
      <w:pPr>
        <w:ind w:firstLine="0"/>
        <w:jc w:val="right"/>
        <w:spacing w:line="360" w:lineRule="exact"/>
        <w:rPr>
          <w:b/>
          <w:szCs w:val="24"/>
        </w:rPr>
      </w:pPr>
      <w:r>
        <w:rPr>
          <w:b/>
          <w:szCs w:val="24"/>
        </w:rPr>
      </w:r>
      <w:r>
        <w:rPr>
          <w:b/>
          <w:szCs w:val="24"/>
        </w:rPr>
      </w:r>
    </w:p>
    <w:p>
      <w:pPr>
        <w:ind w:firstLine="0"/>
        <w:jc w:val="center"/>
        <w:spacing w:line="36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несчастных случаях со смертельным исходом, произошедших </w:t>
      </w:r>
      <w:r>
        <w:rPr>
          <w:b/>
          <w:sz w:val="28"/>
          <w:szCs w:val="28"/>
        </w:rPr>
        <w:t xml:space="preserve">при</w:t>
      </w:r>
      <w:r>
        <w:rPr>
          <w:b/>
          <w:sz w:val="28"/>
          <w:szCs w:val="28"/>
        </w:rPr>
        <w:t xml:space="preserve"> эксплуатации энергоустановок организаций, подконтрольных органам Ростехнадзора,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</w:t>
      </w:r>
      <w:r>
        <w:rPr>
          <w:b/>
          <w:sz w:val="28"/>
          <w:szCs w:val="28"/>
        </w:rPr>
        <w:t xml:space="preserve"> месяц</w:t>
      </w:r>
      <w:r>
        <w:rPr>
          <w:b/>
          <w:sz w:val="28"/>
          <w:szCs w:val="28"/>
        </w:rPr>
        <w:t xml:space="preserve">ев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.</w:t>
      </w:r>
      <w:r>
        <w:rPr>
          <w:b/>
          <w:sz w:val="28"/>
          <w:szCs w:val="28"/>
        </w:rPr>
      </w:r>
    </w:p>
    <w:p>
      <w:pPr>
        <w:ind w:firstLine="0"/>
        <w:jc w:val="center"/>
        <w:spacing w:after="120"/>
        <w:rPr>
          <w:b/>
          <w:spacing w:val="6"/>
          <w:sz w:val="22"/>
          <w:szCs w:val="22"/>
        </w:rPr>
      </w:pPr>
      <w:r>
        <w:rPr>
          <w:b/>
          <w:spacing w:val="6"/>
          <w:sz w:val="22"/>
          <w:szCs w:val="22"/>
        </w:rPr>
      </w:r>
      <w:r>
        <w:rPr>
          <w:b/>
          <w:spacing w:val="6"/>
          <w:sz w:val="22"/>
          <w:szCs w:val="22"/>
        </w:rPr>
      </w:r>
    </w:p>
    <w:p>
      <w:pPr>
        <w:pStyle w:val="781"/>
        <w:numPr>
          <w:ilvl w:val="0"/>
          <w:numId w:val="15"/>
        </w:numPr>
        <w:ind w:left="0" w:firstLine="709"/>
        <w:spacing w:before="240" w:after="120" w:line="312" w:lineRule="auto"/>
        <w:tabs>
          <w:tab w:val="left" w:pos="0" w:leader="none"/>
          <w:tab w:val="left" w:pos="709" w:leader="none"/>
          <w:tab w:val="left" w:pos="851" w:leader="none"/>
          <w:tab w:val="left" w:pos="1134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Обстоятельства несчастн</w:t>
      </w:r>
      <w:r>
        <w:rPr>
          <w:b/>
          <w:sz w:val="28"/>
          <w:szCs w:val="28"/>
        </w:rPr>
        <w:t xml:space="preserve">ых</w:t>
      </w:r>
      <w:r>
        <w:rPr>
          <w:b/>
          <w:sz w:val="28"/>
          <w:szCs w:val="28"/>
        </w:rPr>
        <w:t xml:space="preserve"> случа</w:t>
      </w:r>
      <w:r>
        <w:rPr>
          <w:b/>
          <w:sz w:val="28"/>
          <w:szCs w:val="28"/>
        </w:rPr>
        <w:t xml:space="preserve">ев</w:t>
      </w:r>
      <w:r>
        <w:rPr>
          <w:b/>
          <w:sz w:val="28"/>
          <w:szCs w:val="28"/>
        </w:rPr>
        <w:t xml:space="preserve"> со смертельным исходом, произошедш</w:t>
      </w:r>
      <w:r>
        <w:rPr>
          <w:b/>
          <w:sz w:val="28"/>
          <w:szCs w:val="28"/>
        </w:rPr>
        <w:t xml:space="preserve">их </w:t>
      </w:r>
      <w:r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сентябре</w:t>
      </w:r>
      <w:r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 xml:space="preserve"> г.</w:t>
      </w:r>
      <w:r>
        <w:rPr>
          <w:b/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560" w:leader="none"/>
        </w:tabs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1.1 </w:t>
      </w:r>
      <w:r>
        <w:rPr>
          <w:sz w:val="28"/>
          <w:szCs w:val="28"/>
        </w:rPr>
        <w:t xml:space="preserve">Несчастный случай со смертельным исходом произошел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11 </w:t>
      </w:r>
      <w:r>
        <w:rPr>
          <w:sz w:val="28"/>
          <w:szCs w:val="28"/>
        </w:rPr>
        <w:t xml:space="preserve">сентября</w:t>
      </w:r>
      <w:r>
        <w:rPr>
          <w:sz w:val="28"/>
          <w:szCs w:val="28"/>
        </w:rPr>
        <w:t xml:space="preserve"> 2026 г. </w:t>
      </w:r>
      <w:r>
        <w:rPr>
          <w:sz w:val="28"/>
          <w:szCs w:val="28"/>
        </w:rPr>
        <w:t xml:space="preserve">с работником АО «</w:t>
      </w:r>
      <w:r>
        <w:rPr>
          <w:sz w:val="28"/>
          <w:szCs w:val="28"/>
        </w:rPr>
        <w:t xml:space="preserve">Серовский</w:t>
      </w:r>
      <w:r>
        <w:rPr>
          <w:sz w:val="28"/>
          <w:szCs w:val="28"/>
        </w:rPr>
        <w:t xml:space="preserve"> завод ферросплавов», Свердловская область.</w:t>
      </w:r>
      <w:r>
        <w:rPr>
          <w:color w:val="ff0000"/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560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Краткие обстоятельства несчастного случая. </w:t>
      </w:r>
      <w:r>
        <w:rPr>
          <w:sz w:val="28"/>
          <w:szCs w:val="28"/>
        </w:rPr>
        <w:t xml:space="preserve">При выполнении работ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распределительном устройстве 10 </w:t>
      </w:r>
      <w:r>
        <w:rPr>
          <w:sz w:val="28"/>
          <w:szCs w:val="28"/>
        </w:rPr>
        <w:t xml:space="preserve">кВ</w:t>
      </w:r>
      <w:r>
        <w:rPr>
          <w:sz w:val="28"/>
          <w:szCs w:val="28"/>
        </w:rPr>
        <w:t xml:space="preserve"> печи № 11, расположенной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плавильном цехе № 2, электромонтер по ремонту и обслуживанию электрооборудования приблизился на недопустимое расстояние к токоведущим частям, в результате чего получил </w:t>
      </w:r>
      <w:r>
        <w:rPr>
          <w:sz w:val="28"/>
          <w:szCs w:val="28"/>
        </w:rPr>
        <w:t xml:space="preserve">электротравму</w:t>
      </w:r>
      <w:r>
        <w:rPr>
          <w:sz w:val="28"/>
          <w:szCs w:val="28"/>
        </w:rPr>
        <w:t xml:space="preserve">, несовместимую с жизнью.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>
        <w:rPr>
          <w:sz w:val="28"/>
          <w:szCs w:val="28"/>
        </w:rPr>
        <w:t xml:space="preserve">Несчастный случай со смертельным исходом произошел </w:t>
      </w:r>
      <w:r>
        <w:rPr>
          <w:sz w:val="28"/>
          <w:szCs w:val="28"/>
        </w:rPr>
        <w:br/>
        <w:t xml:space="preserve">23 сентября 2026 г. с работником филиала АО «Юго-Западная Электросетевая Компания» «</w:t>
      </w:r>
      <w:r>
        <w:rPr>
          <w:sz w:val="28"/>
          <w:szCs w:val="28"/>
        </w:rPr>
        <w:t xml:space="preserve">Луганэнерго</w:t>
      </w:r>
      <w:r>
        <w:rPr>
          <w:sz w:val="28"/>
          <w:szCs w:val="28"/>
        </w:rPr>
        <w:t xml:space="preserve">», Луганская Народная Республика.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i/>
          <w:sz w:val="28"/>
          <w:szCs w:val="28"/>
        </w:rPr>
        <w:t xml:space="preserve">Краткие обстоятельства несчастного случая.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Бригада № 2 под руководством производителя работ электрослесаря по ремонту оборудования распределительных устройств 5 разряда планировала работать на шинном разъединителе второй системы шин 6 </w:t>
      </w:r>
      <w:r>
        <w:rPr>
          <w:sz w:val="28"/>
          <w:szCs w:val="28"/>
        </w:rPr>
        <w:t xml:space="preserve">кВ</w:t>
      </w:r>
      <w:r>
        <w:rPr>
          <w:sz w:val="28"/>
          <w:szCs w:val="28"/>
        </w:rPr>
        <w:t xml:space="preserve"> присоединения ЦРП-66 № 1. Производитель работ самовольно открыл сетчатое ограждение соседнего присоединения ячейки 6 </w:t>
      </w:r>
      <w:r>
        <w:rPr>
          <w:sz w:val="28"/>
          <w:szCs w:val="28"/>
        </w:rPr>
        <w:t xml:space="preserve">кВ</w:t>
      </w:r>
      <w:r>
        <w:rPr>
          <w:sz w:val="28"/>
          <w:szCs w:val="28"/>
        </w:rPr>
        <w:t xml:space="preserve"> ЦРП-66 № 2, приблизился к находящейся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под напряжением части, в результате чего получил </w:t>
      </w:r>
      <w:r>
        <w:rPr>
          <w:sz w:val="28"/>
          <w:szCs w:val="28"/>
        </w:rPr>
        <w:t xml:space="preserve">электротравму</w:t>
      </w:r>
      <w:r>
        <w:rPr>
          <w:sz w:val="28"/>
          <w:szCs w:val="28"/>
        </w:rPr>
        <w:t xml:space="preserve">, несовместимую с жизнью.</w:t>
      </w:r>
      <w:r>
        <w:rPr>
          <w:sz w:val="28"/>
          <w:szCs w:val="28"/>
        </w:rPr>
      </w:r>
    </w:p>
    <w:p>
      <w:pPr>
        <w:spacing w:before="120" w:line="312" w:lineRule="auto"/>
        <w:tabs>
          <w:tab w:val="left" w:pos="0" w:leader="none"/>
          <w:tab w:val="left" w:pos="709" w:leader="none"/>
          <w:tab w:val="left" w:pos="851" w:leader="none"/>
          <w:tab w:val="left" w:pos="156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781"/>
        <w:numPr>
          <w:ilvl w:val="0"/>
          <w:numId w:val="15"/>
        </w:numPr>
        <w:ind w:left="0" w:firstLine="709"/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134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Меры по предотвращению несчастных случаев при эксплуатации энергоустановок</w:t>
      </w:r>
      <w:r>
        <w:rPr>
          <w:sz w:val="28"/>
          <w:szCs w:val="28"/>
        </w:rPr>
      </w:r>
    </w:p>
    <w:p>
      <w:pPr>
        <w:pStyle w:val="781"/>
        <w:ind w:left="709" w:firstLine="0"/>
        <w:spacing w:before="240" w:line="312" w:lineRule="auto"/>
        <w:tabs>
          <w:tab w:val="left" w:pos="0" w:leader="none"/>
          <w:tab w:val="left" w:pos="568" w:leader="none"/>
          <w:tab w:val="left" w:pos="709" w:leader="none"/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spacing w:line="360" w:lineRule="auto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Исходя из анализа обстоятельств и причин смертельных несчастных случаев на энергоустановках, </w:t>
      </w:r>
      <w:r>
        <w:rPr>
          <w:rFonts w:eastAsia="MS Mincho"/>
          <w:sz w:val="28"/>
          <w:szCs w:val="28"/>
        </w:rPr>
        <w:t xml:space="preserve">Ростехнадзор</w:t>
      </w:r>
      <w:r>
        <w:rPr>
          <w:rFonts w:eastAsia="MS Mincho"/>
          <w:sz w:val="28"/>
          <w:szCs w:val="28"/>
        </w:rPr>
        <w:t xml:space="preserve"> рекомендует руководителям организаций</w:t>
      </w:r>
      <w:r>
        <w:rPr>
          <w:rFonts w:eastAsia="MS Mincho"/>
          <w:sz w:val="28"/>
          <w:szCs w:val="28"/>
        </w:rPr>
        <w:t xml:space="preserve"> следующее.</w:t>
      </w:r>
      <w:r>
        <w:rPr>
          <w:rFonts w:eastAsia="MS Mincho"/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>
        <w:rPr>
          <w:sz w:val="28"/>
          <w:szCs w:val="28"/>
        </w:rPr>
        <w:t xml:space="preserve">При организ</w:t>
      </w:r>
      <w:r>
        <w:rPr>
          <w:sz w:val="28"/>
          <w:szCs w:val="28"/>
        </w:rPr>
        <w:t xml:space="preserve">ации обучения работников по охране труда акцентировать внимание на повышении эффективности обучения при помощи расширения форматов обучения для лиц со стажем до 3 лет (развитие института наставничества, применение интерактивных форм и цифровых технологий).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2.2 </w:t>
      </w:r>
      <w:r>
        <w:rPr>
          <w:sz w:val="28"/>
          <w:szCs w:val="28"/>
        </w:rPr>
        <w:t xml:space="preserve">Для снижения причин несчастных случаев, связанных с: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нарушением допуска к работам с повышенной опасностью;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необеспечением контроля со стороны руководителей и специалистов подразделения за ходом выполнения работы, соблюдением трудовой дисциплины;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нарушением работником трудового распорядка и дисциплины труда;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- неприменением средств индивидуальной защиты работниками при выполнении работ,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внедрить систему </w:t>
      </w:r>
      <w:r>
        <w:rPr>
          <w:sz w:val="28"/>
          <w:szCs w:val="28"/>
        </w:rPr>
        <w:t xml:space="preserve">видеофиксации</w:t>
      </w:r>
      <w:r>
        <w:rPr>
          <w:sz w:val="28"/>
          <w:szCs w:val="28"/>
        </w:rPr>
        <w:t xml:space="preserve"> нарушений и автоматизированного контроля проведения работ, а также инструментов повышения корпоративного благополучия и мотивации работников на безопасный труд.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2.3 </w:t>
      </w:r>
      <w:r>
        <w:rPr>
          <w:sz w:val="28"/>
          <w:szCs w:val="28"/>
        </w:rPr>
        <w:t xml:space="preserve">Для снижения причин несчастных случаев, связанных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с недостатками в организации и проведении подготовки работников по охране труда при проведении обучения персонала по охране труда при эксплуатации электроустановок, акцентировать внимание на следующих разделах Правил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 охране труда при эксплуатации электроустановок, утвержденных приказом Минтруда России от 15 декабря 2020 г. № 903н, зарегистрированным Минюстом России от 30 декабря 2020 г. № 61957 (далее – ПОТЭЭ):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IV «Охрана труда при производстве работ в</w:t>
      </w:r>
      <w:r>
        <w:rPr>
          <w:sz w:val="28"/>
          <w:szCs w:val="28"/>
        </w:rPr>
        <w:t xml:space="preserve"> действующих электроустановках»;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V «Организационные мероприятия по обеспечению безопасного проведения работ в электроустановках»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X «Охрана труда при подготовке рабочего места и первичном допуске бригады к работе в электроустановках по наряду-допуску и распоряжению».</w:t>
      </w:r>
      <w:r>
        <w:rPr>
          <w:sz w:val="28"/>
          <w:szCs w:val="28"/>
        </w:rPr>
      </w:r>
    </w:p>
    <w:p>
      <w:pPr>
        <w:spacing w:line="312" w:lineRule="auto"/>
        <w:tabs>
          <w:tab w:val="left" w:pos="0" w:leader="none"/>
          <w:tab w:val="left" w:pos="709" w:leader="none"/>
          <w:tab w:val="left" w:pos="851" w:leader="none"/>
          <w:tab w:val="left" w:pos="14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работников </w:t>
      </w:r>
      <w:r>
        <w:rPr>
          <w:sz w:val="28"/>
          <w:szCs w:val="28"/>
        </w:rPr>
        <w:t xml:space="preserve">электросетевых организаций (обслуживающих организаций) 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 углубленное изучение разделов III «Охрана труда при осмотрах, оперативном обслуживании и технологическом управлении электроустановок» и XI «Надзор за бригадой. Изменения состава бригады при проведении работ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электроустановках»,</w:t>
      </w:r>
      <w:r>
        <w:rPr>
          <w:sz w:val="28"/>
          <w:szCs w:val="28"/>
        </w:rPr>
        <w:t xml:space="preserve"> а также </w:t>
      </w:r>
      <w:r>
        <w:rPr>
          <w:sz w:val="28"/>
          <w:szCs w:val="28"/>
        </w:rPr>
        <w:t xml:space="preserve">организаций потребителей электрической энерг</w:t>
      </w:r>
      <w:r>
        <w:rPr>
          <w:sz w:val="28"/>
          <w:szCs w:val="28"/>
        </w:rPr>
        <w:t xml:space="preserve">ии (обслуживающих организаций) -</w:t>
      </w:r>
      <w:r>
        <w:rPr>
          <w:sz w:val="28"/>
          <w:szCs w:val="28"/>
        </w:rPr>
        <w:t xml:space="preserve"> углубленное изучение раздела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XVI «Охрана труда при выполнении технических мероприятий, обеспечивающих безопасность работ в электроустановках».</w:t>
      </w:r>
      <w:r>
        <w:rPr>
          <w:sz w:val="28"/>
          <w:szCs w:val="28"/>
        </w:rPr>
      </w:r>
    </w:p>
    <w:p>
      <w:pPr>
        <w:ind w:firstLine="72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2.4 </w:t>
      </w:r>
      <w:r>
        <w:rPr>
          <w:sz w:val="28"/>
          <w:szCs w:val="28"/>
        </w:rPr>
        <w:t xml:space="preserve">С</w:t>
      </w:r>
      <w:r>
        <w:rPr>
          <w:sz w:val="28"/>
          <w:szCs w:val="28"/>
        </w:rPr>
        <w:t xml:space="preserve"> целью</w:t>
      </w:r>
      <w:r>
        <w:rPr>
          <w:sz w:val="28"/>
          <w:szCs w:val="28"/>
        </w:rPr>
        <w:t xml:space="preserve"> снижения риска производственного травматизма в течение полугода после завершения обучения контролировать уровень знаний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по охране т</w:t>
      </w:r>
      <w:r>
        <w:rPr>
          <w:sz w:val="28"/>
          <w:szCs w:val="28"/>
        </w:rPr>
        <w:t xml:space="preserve">руда и способность работников применять безопасные методы труда. В связи с этим рекомендуется организовать мониторинг усвоенного материала через три месяца после завершения обучения, уделяя особое внимание разделам ПОТЭЭ, где ошибки встречаются чаще всего.</w:t>
      </w:r>
      <w:r>
        <w:rPr>
          <w:sz w:val="28"/>
          <w:szCs w:val="28"/>
        </w:rPr>
      </w:r>
    </w:p>
    <w:p>
      <w:pPr>
        <w:pStyle w:val="781"/>
        <w:ind w:left="0"/>
        <w:spacing w:line="36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Внедрить в программы обучения персонала задания, направленные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на развитие навыков безопасного поведения и предотвращение наиболее распространенных нарушений, таких как: приближение к токоведущим частям, работа без допуска, нарушение границ рабочего места и объема выполняемых работ, отсутствие контроля за бригадой.</w:t>
      </w:r>
      <w:bookmarkStart w:id="0" w:name="_GoBack"/>
      <w:r/>
      <w:bookmarkEnd w:id="0"/>
      <w:r/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567" w:right="849" w:bottom="567" w:left="1418" w:header="720" w:footer="720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MS Mincho">
    <w:panose1 w:val="02070609020205090404"/>
  </w:font>
  <w:font w:name="Tahom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782461203"/>
      <w:docPartObj>
        <w:docPartGallery w:val="Page Numbers (Bottom of Page)"/>
        <w:docPartUnique w:val="true"/>
      </w:docPartObj>
      <w:rPr/>
    </w:sdtPr>
    <w:sdtContent>
      <w:p>
        <w:pPr>
          <w:pStyle w:val="78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8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6"/>
      <w:ind w:firstLine="0"/>
      <w:jc w:val="right"/>
    </w:pPr>
    <w: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ind w:firstLine="0"/>
      <w:rPr>
        <w:rStyle w:val="775"/>
      </w:rPr>
      <w:framePr w:wrap="around" w:vAnchor="text" w:hAnchor="margin" w:xAlign="center" w:y="1"/>
    </w:pPr>
    <w:r/>
    <w:r>
      <w:rPr>
        <w:rStyle w:val="775"/>
      </w:rPr>
    </w:r>
  </w:p>
  <w:p>
    <w:pPr>
      <w:pStyle w:val="774"/>
      <w:ind w:right="36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  <w:rPr>
        <w:rStyle w:val="775"/>
      </w:rPr>
      <w:framePr w:wrap="around" w:vAnchor="text" w:hAnchor="margin" w:xAlign="center" w:y="1"/>
    </w:pPr>
    <w:r>
      <w:rPr>
        <w:rStyle w:val="775"/>
      </w:rPr>
      <w:fldChar w:fldCharType="begin"/>
    </w:r>
    <w:r>
      <w:rPr>
        <w:rStyle w:val="775"/>
      </w:rPr>
      <w:instrText xml:space="preserve">PAGE  </w:instrText>
    </w:r>
    <w:r>
      <w:rPr>
        <w:rStyle w:val="775"/>
      </w:rPr>
      <w:fldChar w:fldCharType="end"/>
    </w:r>
    <w:r>
      <w:rPr>
        <w:rStyle w:val="775"/>
      </w:rPr>
    </w:r>
  </w:p>
  <w:p>
    <w:pPr>
      <w:pStyle w:val="774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pStyle w:val="761"/>
      <w:isLgl w:val="false"/>
      <w:suff w:val="tab"/>
      <w:lvlText w:val="%1"/>
      <w:lvlJc w:val="left"/>
      <w:pPr>
        <w:ind w:left="425" w:hanging="283"/>
        <w:tabs>
          <w:tab w:val="num" w:pos="502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suff w:val="tab"/>
      <w:lvlText w:val="%1.%2"/>
      <w:lvlJc w:val="left"/>
      <w:pPr>
        <w:ind w:left="5384" w:hanging="705"/>
      </w:pPr>
      <w:rPr>
        <w:rFonts w:hint="default"/>
        <w:i w:val="0"/>
        <w:color w:val="auto"/>
      </w:rPr>
    </w:lvl>
    <w:lvl w:ilvl="2">
      <w:start w:val="1"/>
      <w:numFmt w:val="decimal"/>
      <w:isLgl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4" w:hanging="18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3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5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7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9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1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3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5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7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91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2"/>
      <w:numFmt w:val="decimal"/>
      <w:isLgl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10"/>
  </w:num>
  <w:num w:numId="4">
    <w:abstractNumId w:val="17"/>
  </w:num>
  <w:num w:numId="5">
    <w:abstractNumId w:val="9"/>
  </w:num>
  <w:num w:numId="6">
    <w:abstractNumId w:val="2"/>
  </w:num>
  <w:num w:numId="7">
    <w:abstractNumId w:val="11"/>
  </w:num>
  <w:num w:numId="8">
    <w:abstractNumId w:val="3"/>
  </w:num>
  <w:num w:numId="9">
    <w:abstractNumId w:val="5"/>
  </w:num>
  <w:num w:numId="10">
    <w:abstractNumId w:val="7"/>
  </w:num>
  <w:num w:numId="11">
    <w:abstractNumId w:val="18"/>
  </w:num>
  <w:num w:numId="12">
    <w:abstractNumId w:val="14"/>
  </w:num>
  <w:num w:numId="13">
    <w:abstractNumId w:val="6"/>
  </w:num>
  <w:num w:numId="14">
    <w:abstractNumId w:val="12"/>
  </w:num>
  <w:num w:numId="15">
    <w:abstractNumId w:val="4"/>
  </w:num>
  <w:num w:numId="1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5"/>
  </w:num>
  <w:num w:numId="19">
    <w:abstractNumId w:val="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68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763"/>
    <w:link w:val="75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763"/>
    <w:link w:val="759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763"/>
    <w:link w:val="76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763"/>
    <w:link w:val="7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757"/>
    <w:next w:val="75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63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757"/>
    <w:next w:val="75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63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757"/>
    <w:next w:val="75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63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63"/>
    <w:link w:val="7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757"/>
    <w:next w:val="75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63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757"/>
    <w:next w:val="75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63"/>
    <w:link w:val="35"/>
    <w:uiPriority w:val="10"/>
    <w:rPr>
      <w:sz w:val="48"/>
      <w:szCs w:val="48"/>
    </w:rPr>
  </w:style>
  <w:style w:type="paragraph" w:styleId="37">
    <w:name w:val="Subtitle"/>
    <w:basedOn w:val="757"/>
    <w:next w:val="75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63"/>
    <w:link w:val="37"/>
    <w:uiPriority w:val="11"/>
    <w:rPr>
      <w:sz w:val="24"/>
      <w:szCs w:val="24"/>
    </w:rPr>
  </w:style>
  <w:style w:type="paragraph" w:styleId="39">
    <w:name w:val="Quote"/>
    <w:basedOn w:val="757"/>
    <w:next w:val="75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757"/>
    <w:next w:val="75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763"/>
    <w:link w:val="774"/>
    <w:uiPriority w:val="99"/>
  </w:style>
  <w:style w:type="character" w:styleId="46">
    <w:name w:val="Footer Char"/>
    <w:basedOn w:val="763"/>
    <w:link w:val="786"/>
    <w:uiPriority w:val="99"/>
  </w:style>
  <w:style w:type="character" w:styleId="48">
    <w:name w:val="Caption Char"/>
    <w:basedOn w:val="763"/>
    <w:link w:val="77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76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7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75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63"/>
    <w:uiPriority w:val="99"/>
    <w:unhideWhenUsed/>
    <w:rPr>
      <w:vertAlign w:val="superscript"/>
    </w:rPr>
  </w:style>
  <w:style w:type="paragraph" w:styleId="179">
    <w:name w:val="endnote text"/>
    <w:basedOn w:val="75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63"/>
    <w:uiPriority w:val="99"/>
    <w:semiHidden/>
    <w:unhideWhenUsed/>
    <w:rPr>
      <w:vertAlign w:val="superscript"/>
    </w:rPr>
  </w:style>
  <w:style w:type="paragraph" w:styleId="182">
    <w:name w:val="toc 1"/>
    <w:basedOn w:val="757"/>
    <w:next w:val="75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757"/>
    <w:next w:val="75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757"/>
    <w:next w:val="75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757"/>
    <w:next w:val="75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757"/>
    <w:next w:val="75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757"/>
    <w:next w:val="75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757"/>
    <w:next w:val="75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757"/>
    <w:next w:val="75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757"/>
    <w:next w:val="75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757"/>
    <w:next w:val="757"/>
    <w:uiPriority w:val="99"/>
    <w:unhideWhenUsed/>
    <w:pPr>
      <w:spacing w:after="0" w:afterAutospacing="0"/>
    </w:pPr>
  </w:style>
  <w:style w:type="paragraph" w:styleId="757" w:default="1">
    <w:name w:val="Normal"/>
    <w:qFormat/>
    <w:pPr>
      <w:ind w:firstLine="709"/>
      <w:jc w:val="both"/>
    </w:pPr>
    <w:rPr>
      <w:sz w:val="24"/>
    </w:rPr>
  </w:style>
  <w:style w:type="paragraph" w:styleId="758">
    <w:name w:val="Heading 1"/>
    <w:basedOn w:val="757"/>
    <w:next w:val="757"/>
    <w:qFormat/>
    <w:pPr>
      <w:jc w:val="center"/>
      <w:keepNext/>
      <w:spacing w:before="40"/>
      <w:outlineLvl w:val="0"/>
    </w:pPr>
    <w:rPr>
      <w:b/>
      <w:sz w:val="28"/>
    </w:rPr>
  </w:style>
  <w:style w:type="paragraph" w:styleId="759">
    <w:name w:val="Heading 2"/>
    <w:basedOn w:val="757"/>
    <w:next w:val="757"/>
    <w:qFormat/>
    <w:pPr>
      <w:jc w:val="center"/>
      <w:keepNext/>
      <w:spacing w:before="60" w:after="60"/>
      <w:tabs>
        <w:tab w:val="left" w:pos="0" w:leader="none"/>
      </w:tabs>
      <w:outlineLvl w:val="1"/>
    </w:pPr>
    <w:rPr>
      <w:rFonts w:ascii="Arial" w:hAnsi="Arial"/>
      <w:b/>
    </w:rPr>
  </w:style>
  <w:style w:type="paragraph" w:styleId="760">
    <w:name w:val="Heading 3"/>
    <w:basedOn w:val="757"/>
    <w:next w:val="757"/>
    <w:qFormat/>
    <w:pPr>
      <w:ind w:firstLine="284"/>
      <w:jc w:val="center"/>
      <w:keepNext/>
      <w:spacing w:line="216" w:lineRule="auto"/>
      <w:tabs>
        <w:tab w:val="left" w:pos="709" w:leader="none"/>
      </w:tabs>
      <w:outlineLvl w:val="2"/>
    </w:pPr>
    <w:rPr>
      <w:b/>
    </w:rPr>
  </w:style>
  <w:style w:type="paragraph" w:styleId="761">
    <w:name w:val="Heading 4"/>
    <w:basedOn w:val="757"/>
    <w:next w:val="757"/>
    <w:link w:val="785"/>
    <w:qFormat/>
    <w:pPr>
      <w:numPr>
        <w:ilvl w:val="0"/>
        <w:numId w:val="1"/>
      </w:numPr>
      <w:jc w:val="center"/>
      <w:keepNext/>
      <w:outlineLvl w:val="3"/>
    </w:pPr>
    <w:rPr>
      <w:b/>
      <w:sz w:val="18"/>
    </w:rPr>
  </w:style>
  <w:style w:type="paragraph" w:styleId="762">
    <w:name w:val="Heading 8"/>
    <w:basedOn w:val="757"/>
    <w:next w:val="757"/>
    <w:qFormat/>
    <w:pPr>
      <w:ind w:left="705"/>
      <w:jc w:val="center"/>
      <w:keepNext/>
      <w:outlineLvl w:val="7"/>
    </w:pPr>
    <w:rPr>
      <w:b/>
    </w:rPr>
  </w:style>
  <w:style w:type="character" w:styleId="763" w:default="1">
    <w:name w:val="Default Paragraph Font"/>
    <w:uiPriority w:val="1"/>
    <w:semiHidden/>
    <w:unhideWhenUsed/>
  </w:style>
  <w:style w:type="table" w:styleId="7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5" w:default="1">
    <w:name w:val="No List"/>
    <w:uiPriority w:val="99"/>
    <w:semiHidden/>
    <w:unhideWhenUsed/>
  </w:style>
  <w:style w:type="paragraph" w:styleId="766" w:customStyle="1">
    <w:name w:val="Основной текст 21"/>
    <w:basedOn w:val="757"/>
    <w:pPr>
      <w:ind w:firstLine="284"/>
    </w:pPr>
  </w:style>
  <w:style w:type="paragraph" w:styleId="767">
    <w:name w:val="Body Text Indent 3"/>
    <w:basedOn w:val="757"/>
    <w:pPr>
      <w:ind w:firstLine="360"/>
    </w:pPr>
    <w:rPr>
      <w:sz w:val="22"/>
    </w:rPr>
  </w:style>
  <w:style w:type="paragraph" w:styleId="768">
    <w:name w:val="Body Text"/>
    <w:basedOn w:val="757"/>
    <w:pPr>
      <w:ind w:right="43"/>
      <w:jc w:val="center"/>
    </w:pPr>
    <w:rPr>
      <w:b/>
      <w:sz w:val="28"/>
    </w:rPr>
  </w:style>
  <w:style w:type="paragraph" w:styleId="769" w:customStyle="1">
    <w:name w:val="ОСН"/>
    <w:basedOn w:val="757"/>
    <w:pPr>
      <w:ind w:firstLine="284"/>
      <w:spacing w:line="480" w:lineRule="auto"/>
    </w:pPr>
  </w:style>
  <w:style w:type="paragraph" w:styleId="770">
    <w:name w:val="Body Text Indent 2"/>
    <w:basedOn w:val="757"/>
    <w:pPr>
      <w:tabs>
        <w:tab w:val="num" w:pos="0" w:leader="none"/>
      </w:tabs>
    </w:pPr>
  </w:style>
  <w:style w:type="paragraph" w:styleId="771">
    <w:name w:val="Body Text 2"/>
    <w:basedOn w:val="757"/>
  </w:style>
  <w:style w:type="paragraph" w:styleId="772">
    <w:name w:val="Body Text 3"/>
    <w:basedOn w:val="757"/>
  </w:style>
  <w:style w:type="paragraph" w:styleId="773">
    <w:name w:val="Body Text Indent"/>
    <w:basedOn w:val="757"/>
    <w:pPr>
      <w:ind w:firstLine="284"/>
    </w:pPr>
  </w:style>
  <w:style w:type="paragraph" w:styleId="774">
    <w:name w:val="Header"/>
    <w:basedOn w:val="757"/>
    <w:pPr>
      <w:tabs>
        <w:tab w:val="center" w:pos="4677" w:leader="none"/>
        <w:tab w:val="right" w:pos="9355" w:leader="none"/>
      </w:tabs>
    </w:pPr>
  </w:style>
  <w:style w:type="character" w:styleId="775">
    <w:name w:val="page number"/>
    <w:basedOn w:val="763"/>
  </w:style>
  <w:style w:type="paragraph" w:styleId="776">
    <w:name w:val="Caption"/>
    <w:basedOn w:val="757"/>
    <w:next w:val="757"/>
    <w:qFormat/>
    <w:pPr>
      <w:jc w:val="center"/>
    </w:pPr>
    <w:rPr>
      <w:b/>
      <w:sz w:val="16"/>
    </w:rPr>
  </w:style>
  <w:style w:type="paragraph" w:styleId="777">
    <w:name w:val="Balloon Text"/>
    <w:basedOn w:val="757"/>
    <w:link w:val="778"/>
    <w:rPr>
      <w:rFonts w:ascii="Tahoma" w:hAnsi="Tahoma" w:cs="Tahoma"/>
      <w:sz w:val="16"/>
      <w:szCs w:val="16"/>
    </w:rPr>
  </w:style>
  <w:style w:type="character" w:styleId="778" w:customStyle="1">
    <w:name w:val="Текст выноски Знак"/>
    <w:link w:val="777"/>
    <w:rPr>
      <w:rFonts w:ascii="Tahoma" w:hAnsi="Tahoma" w:cs="Tahoma"/>
      <w:sz w:val="16"/>
      <w:szCs w:val="16"/>
    </w:rPr>
  </w:style>
  <w:style w:type="character" w:styleId="779">
    <w:name w:val="Subtle Emphasis"/>
    <w:uiPriority w:val="19"/>
    <w:qFormat/>
    <w:rPr>
      <w:i/>
      <w:iCs/>
      <w:color w:val="808080"/>
    </w:rPr>
  </w:style>
  <w:style w:type="paragraph" w:styleId="780">
    <w:name w:val="Normal (Web)"/>
    <w:basedOn w:val="757"/>
    <w:uiPriority w:val="99"/>
    <w:unhideWhenUsed/>
    <w:pPr>
      <w:ind w:firstLine="0"/>
      <w:jc w:val="left"/>
      <w:spacing w:before="100" w:beforeAutospacing="1" w:after="100" w:afterAutospacing="1"/>
    </w:pPr>
    <w:rPr>
      <w:szCs w:val="24"/>
    </w:rPr>
  </w:style>
  <w:style w:type="paragraph" w:styleId="781">
    <w:name w:val="List Paragraph"/>
    <w:basedOn w:val="757"/>
    <w:uiPriority w:val="34"/>
    <w:qFormat/>
    <w:pPr>
      <w:contextualSpacing/>
      <w:ind w:left="720"/>
    </w:pPr>
  </w:style>
  <w:style w:type="character" w:styleId="782">
    <w:name w:val="Hyperlink"/>
    <w:basedOn w:val="763"/>
    <w:unhideWhenUsed/>
    <w:rPr>
      <w:color w:val="0000ff" w:themeColor="hyperlink"/>
      <w:u w:val="single"/>
    </w:rPr>
  </w:style>
  <w:style w:type="character" w:styleId="783">
    <w:name w:val="Emphasis"/>
    <w:basedOn w:val="763"/>
    <w:qFormat/>
    <w:rPr>
      <w:i/>
      <w:iCs/>
    </w:rPr>
  </w:style>
  <w:style w:type="paragraph" w:styleId="784" w:customStyle="1">
    <w:name w:val="p4"/>
    <w:basedOn w:val="757"/>
    <w:pPr>
      <w:ind w:firstLine="0"/>
      <w:jc w:val="left"/>
      <w:spacing w:before="100" w:beforeAutospacing="1" w:after="100" w:afterAutospacing="1"/>
    </w:pPr>
    <w:rPr>
      <w:szCs w:val="24"/>
    </w:rPr>
  </w:style>
  <w:style w:type="character" w:styleId="785" w:customStyle="1">
    <w:name w:val="Заголовок 4 Знак"/>
    <w:basedOn w:val="763"/>
    <w:link w:val="761"/>
    <w:rPr>
      <w:b/>
      <w:sz w:val="18"/>
    </w:rPr>
  </w:style>
  <w:style w:type="paragraph" w:styleId="786">
    <w:name w:val="Footer"/>
    <w:basedOn w:val="757"/>
    <w:link w:val="78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87" w:customStyle="1">
    <w:name w:val="Нижний колонтитул Знак"/>
    <w:basedOn w:val="763"/>
    <w:link w:val="786"/>
    <w:uiPriority w:val="99"/>
    <w:rPr>
      <w:sz w:val="24"/>
    </w:rPr>
  </w:style>
  <w:style w:type="character" w:styleId="788">
    <w:name w:val="Strong"/>
    <w:basedOn w:val="763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184AA-C362-450D-A10A-339BD738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 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энергетики Российской Федерации</dc:title>
  <dc:subject/>
  <dc:creator>Sbitnev</dc:creator>
  <cp:keywords/>
  <dc:description/>
  <cp:lastModifiedBy>u024</cp:lastModifiedBy>
  <cp:revision>1475</cp:revision>
  <dcterms:created xsi:type="dcterms:W3CDTF">2012-05-29T19:10:00Z</dcterms:created>
  <dcterms:modified xsi:type="dcterms:W3CDTF">2026-10-19T07:45:18Z</dcterms:modified>
</cp:coreProperties>
</file>